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0" w:before="0"/>
      </w:pPr>
      <w:r>
        <w:drawing>
          <wp:inline xmlns:a="http://schemas.openxmlformats.org/drawingml/2006/main" xmlns:pic="http://schemas.openxmlformats.org/drawingml/2006/picture">
            <wp:extent cx="6120000" cy="108000"/>
            <wp:docPr id="1" name="Picture 1"/>
            <wp:cNvGraphicFramePr>
              <a:graphicFrameLocks noChangeAspect="1"/>
            </wp:cNvGraphicFramePr>
            <a:graphic>
              <a:graphicData uri="http://schemas.openxmlformats.org/drawingml/2006/picture">
                <pic:pic>
                  <pic:nvPicPr>
                    <pic:cNvPr id="0" name="grad_topstrip.png"/>
                    <pic:cNvPicPr/>
                  </pic:nvPicPr>
                  <pic:blipFill>
                    <a:blip r:embed="rId12"/>
                    <a:stretch>
                      <a:fillRect/>
                    </a:stretch>
                  </pic:blipFill>
                  <pic:spPr>
                    <a:xfrm>
                      <a:off x="0" y="0"/>
                      <a:ext cx="6120000" cy="108000"/>
                    </a:xfrm>
                    <a:prstGeom prst="rect"/>
                  </pic:spPr>
                </pic:pic>
              </a:graphicData>
            </a:graphic>
          </wp:inline>
        </w:drawing>
      </w:r>
    </w:p>
    <w:tbl>
      <w:tblPr>
        <w:tblW w:type="auto" w:w="0"/>
        <w:tblLayout w:type="fixed"/>
        <w:tblLook w:firstColumn="1" w:firstRow="1" w:lastColumn="0" w:lastRow="0" w:noHBand="0" w:noVBand="1" w:val="04A0"/>
      </w:tblPr>
      <w:tblGrid>
        <w:gridCol w:w="9638"/>
      </w:tblGrid>
      <w:tr>
        <w:tc>
          <w:tcPr>
            <w:tcW w:type="dxa" w:w="9638"/>
            <w:shd w:val="clear" w:color="auto" w:fill="F8F1FA"/>
            <w:tcBorders>
              <w:top w:val="single" w:sz="6" w:space="0" w:color="E5DAF1"/>
              <w:bottom w:val="single" w:sz="6" w:space="0" w:color="E5DAF1"/>
              <w:left w:val="single" w:sz="6" w:space="0" w:color="E5DAF1"/>
              <w:right w:val="single" w:sz="6" w:space="0" w:color="E5DAF1"/>
            </w:tcBorders>
            <w:tcMar>
              <w:top w:w="240" w:type="dxa"/>
              <w:bottom w:w="240" w:type="dxa"/>
              <w:start w:w="150" w:type="dxa"/>
              <w:end w:w="150" w:type="dxa"/>
            </w:tcMar>
            <w:vAlign w:val="center"/>
          </w:tcPr>
          <w:p>
            <w:pPr>
              <w:jc w:val="center"/>
            </w:pPr>
            <w:r>
              <w:rPr>
                <w:i/>
                <w:color w:val="665979"/>
                <w:sz w:val="22"/>
              </w:rPr>
              <w:t>[  Insert your organisation logo here  ]</w:t>
            </w:r>
          </w:p>
        </w:tc>
      </w:tr>
    </w:tbl>
    <w:p>
      <w:pPr>
        <w:spacing w:after="200" w:before="0"/>
      </w:pPr>
    </w:p>
    <w:p>
      <w:pPr>
        <w:spacing w:after="40" w:before="0"/>
      </w:pPr>
      <w:r>
        <w:rPr>
          <w:b/>
          <w:i w:val="0"/>
          <w:color w:val="B843F3"/>
          <w:sz w:val="22"/>
        </w:rPr>
        <w:t>SUITE ARCHITECTURE</w:t>
      </w:r>
    </w:p>
    <w:p>
      <w:pPr>
        <w:pStyle w:val="Title"/>
        <w:spacing w:after="40"/>
      </w:pPr>
      <w:r>
        <w:t>ISMS Template Suite — Architecture &amp; Document Register</w:t>
      </w:r>
    </w:p>
    <w:p>
      <w:pPr>
        <w:spacing w:after="160" w:before="0"/>
      </w:pPr>
      <w:r>
        <w:rPr>
          <w:b w:val="0"/>
          <w:i w:val="0"/>
          <w:color w:val="44089B"/>
          <w:sz w:val="25"/>
        </w:rPr>
        <w:t>ISO/IEC 27001:2022  Information Security Management System</w:t>
      </w:r>
    </w:p>
    <w:p>
      <w:pPr>
        <w:spacing w:after="200" w:before="0"/>
      </w:pPr>
      <w:r>
        <w:drawing>
          <wp:inline xmlns:a="http://schemas.openxmlformats.org/drawingml/2006/main" xmlns:pic="http://schemas.openxmlformats.org/drawingml/2006/picture">
            <wp:extent cx="6120000" cy="93600"/>
            <wp:docPr id="2" name="Picture 2"/>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93600"/>
                    </a:xfrm>
                    <a:prstGeom prst="rect"/>
                  </pic:spPr>
                </pic:pic>
              </a:graphicData>
            </a:graphic>
          </wp:inline>
        </w:drawing>
      </w:r>
    </w:p>
    <w:p>
      <w:pPr>
        <w:spacing w:after="280"/>
      </w:pPr>
      <w:r>
        <w:rPr>
          <w:b/>
          <w:i w:val="0"/>
          <w:color w:val="44089B"/>
          <w:sz w:val="22"/>
        </w:rPr>
        <w:t xml:space="preserve">Prepared for:  </w:t>
      </w:r>
      <w:r>
        <w:rPr>
          <w:b w:val="0"/>
          <w:i w:val="0"/>
          <w:color w:val="1C1626"/>
          <w:sz w:val="22"/>
        </w:rPr>
        <w:t>[Organisation Name]</w:t>
      </w:r>
    </w:p>
    <w:p>
      <w:pPr>
        <w:pStyle w:val="Heading3"/>
      </w:pPr>
      <w:r>
        <w:t>Document control</w:t>
      </w:r>
    </w:p>
    <w:tbl>
      <w:tblPr>
        <w:tblW w:type="auto" w:w="0"/>
        <w:tblLayout w:type="fixed"/>
        <w:tblLook w:firstColumn="1" w:firstRow="1" w:lastColumn="0" w:lastRow="0" w:noHBand="0" w:noVBand="1" w:val="04A0"/>
      </w:tblPr>
      <w:tblGrid>
        <w:gridCol w:w="4819"/>
        <w:gridCol w:w="4819"/>
      </w:tblGrid>
      <w:tr>
        <w:trPr>
          <w:tblHeader w:val="true"/>
        </w:trPr>
        <w:tc>
          <w:tcPr>
            <w:tcW w:type="dxa" w:w="3118"/>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Field</w:t>
            </w:r>
          </w:p>
        </w:tc>
        <w:tc>
          <w:tcPr>
            <w:tcW w:type="dxa" w:w="652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Detail</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Document title</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ISMS Template Suite — Architecture &amp; Document Register</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Document reference</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ISMS-ARC-01</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Document type</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Suite Architecture</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Standard</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ISO/IEC 27001:2022 (incl. Amendment 1:2024)</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Version</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[0.1]</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Classification</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Commercial in Confidence</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Owner</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27001 Systems (template author)</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Approved by</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[Approver name / role]</w:t>
            </w:r>
          </w:p>
        </w:tc>
      </w:tr>
      <w:tr>
        <w:trPr>
          <w:cantSplit/>
        </w:trPr>
        <w:tc>
          <w:tcPr>
            <w:tcW w:type="dxa" w:w="3118"/>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Date of issue</w:t>
            </w:r>
          </w:p>
        </w:tc>
        <w:tc>
          <w:tcPr>
            <w:tcW w:type="dxa" w:w="65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[DD Month YYYY]</w:t>
            </w:r>
          </w:p>
        </w:tc>
      </w:tr>
      <w:tr>
        <w:trPr>
          <w:cantSplit/>
        </w:trPr>
        <w:tc>
          <w:tcPr>
            <w:tcW w:type="dxa" w:w="3118"/>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Next review date</w:t>
            </w:r>
          </w:p>
        </w:tc>
        <w:tc>
          <w:tcPr>
            <w:tcW w:type="dxa" w:w="65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[DD Month YYYY]</w:t>
            </w:r>
          </w:p>
        </w:tc>
      </w:tr>
    </w:tbl>
    <w:p>
      <w:r>
        <w:br w:type="page"/>
      </w:r>
    </w:p>
    <w:p>
      <w:pPr>
        <w:pStyle w:val="Heading1"/>
      </w:pPr>
      <w:r>
        <w:t>1  Purpose of this document</w:t>
      </w:r>
    </w:p>
    <w:p>
      <w:pPr>
        <w:spacing w:after="120" w:before="20"/>
      </w:pPr>
      <w:r>
        <w:drawing>
          <wp:inline xmlns:a="http://schemas.openxmlformats.org/drawingml/2006/main" xmlns:pic="http://schemas.openxmlformats.org/drawingml/2006/picture">
            <wp:extent cx="6120000" cy="57600"/>
            <wp:docPr id="3" name="Picture 3"/>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This document sets out the architecture of the 27001 Systems Information Security Management System (ISMS) template suite for ISO/IEC 27001:2022. It lists every document in the suite, shows how each maps to the requirements of the Standard and to the 93 controls of Annex A of ISO/IEC 27001:2022 (detailed in ISO/IEC 27002:2022), and records the conventions that keep the suite consistent and audit-ready.</w:t>
      </w:r>
    </w:p>
    <w:p>
      <w:pPr>
        <w:spacing w:after="120" w:before="0"/>
      </w:pPr>
      <w:r>
        <w:rPr>
          <w:b w:val="0"/>
          <w:i w:val="0"/>
          <w:color w:val="1C1626"/>
          <w:sz w:val="21"/>
        </w:rPr>
        <w:t>It is the master index for the suite and the reference used to confirm scope before the remaining documents are produced.</w:t>
      </w:r>
    </w:p>
    <w:p>
      <w:pPr>
        <w:pStyle w:val="Heading1"/>
      </w:pPr>
      <w:r>
        <w:t>2  How the suite was built</w:t>
      </w:r>
    </w:p>
    <w:p>
      <w:pPr>
        <w:spacing w:after="120" w:before="20"/>
      </w:pPr>
      <w:r>
        <w:drawing>
          <wp:inline xmlns:a="http://schemas.openxmlformats.org/drawingml/2006/main" xmlns:pic="http://schemas.openxmlformats.org/drawingml/2006/picture">
            <wp:extent cx="6120000" cy="57600"/>
            <wp:docPr id="4" name="Picture 4"/>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pStyle w:val="ListBullet"/>
        <w:spacing w:after="60"/>
      </w:pPr>
      <w:r>
        <w:rPr>
          <w:b/>
          <w:i w:val="0"/>
          <w:color w:val="44089B"/>
          <w:sz w:val="21"/>
        </w:rPr>
        <w:t xml:space="preserve">Combined and modernised.  </w:t>
      </w:r>
      <w:r>
        <w:rPr>
          <w:b w:val="0"/>
          <w:i w:val="0"/>
          <w:color w:val="1C1626"/>
          <w:sz w:val="21"/>
        </w:rPr>
        <w:t>The suite merges a cohesive Clause 4-10 management-system spine with a modern, control-mapped policy set, producing a single coherent system rather than two partial ones.</w:t>
      </w:r>
    </w:p>
    <w:p>
      <w:pPr>
        <w:pStyle w:val="ListBullet"/>
        <w:spacing w:after="60"/>
      </w:pPr>
      <w:r>
        <w:rPr>
          <w:b/>
          <w:i w:val="0"/>
          <w:color w:val="44089B"/>
          <w:sz w:val="21"/>
        </w:rPr>
        <w:t xml:space="preserve">Clean-room authored.  </w:t>
      </w:r>
      <w:r>
        <w:rPr>
          <w:b w:val="0"/>
          <w:i w:val="0"/>
          <w:color w:val="1C1626"/>
          <w:sz w:val="21"/>
        </w:rPr>
        <w:t>All content is original. It was written to the requirements of the Standard and carries no third-party text, branding, names or web links.</w:t>
      </w:r>
    </w:p>
    <w:p>
      <w:pPr>
        <w:pStyle w:val="ListBullet"/>
        <w:spacing w:after="60"/>
      </w:pPr>
      <w:r>
        <w:rPr>
          <w:b/>
          <w:i w:val="0"/>
          <w:color w:val="44089B"/>
          <w:sz w:val="21"/>
        </w:rPr>
        <w:t xml:space="preserve">Aligned to ISO/IEC 27001:2022 and Amendment 1:2024.  </w:t>
      </w:r>
      <w:r>
        <w:rPr>
          <w:b w:val="0"/>
          <w:i w:val="0"/>
          <w:color w:val="1C1626"/>
          <w:sz w:val="21"/>
        </w:rPr>
        <w:t>Includes the 2024 climate-action additions to Clauses 4.1 and 4.2, and the four-theme, 93-control structure of Annex A of ISO/IEC 27001:2022 (detailed in ISO/IEC 27002:2022).</w:t>
      </w:r>
    </w:p>
    <w:p>
      <w:pPr>
        <w:pStyle w:val="ListBullet"/>
        <w:spacing w:after="60"/>
      </w:pPr>
      <w:r>
        <w:rPr>
          <w:b/>
          <w:i w:val="0"/>
          <w:color w:val="44089B"/>
          <w:sz w:val="21"/>
        </w:rPr>
        <w:t xml:space="preserve">Jurisdiction-neutral with an Australian default.  </w:t>
      </w:r>
      <w:r>
        <w:rPr>
          <w:b w:val="0"/>
          <w:i w:val="0"/>
          <w:color w:val="1C1626"/>
          <w:sz w:val="21"/>
        </w:rPr>
        <w:t>Legal and regulatory references are placeholders, pre-populated with Australian defaults (Privacy Act 1988 and the Australian Privacy Principles, the Notifiable Data Breaches scheme, and the ACSC Essential Eight) that the buyer can change for their jurisdiction.</w:t>
      </w:r>
    </w:p>
    <w:p>
      <w:pPr>
        <w:pStyle w:val="ListBullet"/>
        <w:spacing w:after="60"/>
      </w:pPr>
      <w:r>
        <w:rPr>
          <w:b/>
          <w:i w:val="0"/>
          <w:color w:val="44089B"/>
          <w:sz w:val="21"/>
        </w:rPr>
        <w:t xml:space="preserve">End-user fillable.  </w:t>
      </w:r>
      <w:r>
        <w:rPr>
          <w:b w:val="0"/>
          <w:i w:val="0"/>
          <w:color w:val="1C1626"/>
          <w:sz w:val="21"/>
        </w:rPr>
        <w:t>Every document uses clear [bracketed placeholders]. The purchasing organisation inserts its own name, logo and detail; 27001 Systems branding is limited to the colour scheme, cover and footer.</w:t>
      </w:r>
    </w:p>
    <w:p>
      <w:pPr>
        <w:pStyle w:val="Heading1"/>
      </w:pPr>
      <w:r>
        <w:t>3  The suite at a glance</w:t>
      </w:r>
    </w:p>
    <w:p>
      <w:pPr>
        <w:spacing w:after="120" w:before="20"/>
      </w:pPr>
      <w:r>
        <w:drawing>
          <wp:inline xmlns:a="http://schemas.openxmlformats.org/drawingml/2006/main" xmlns:pic="http://schemas.openxmlformats.org/drawingml/2006/picture">
            <wp:extent cx="6120000" cy="57600"/>
            <wp:docPr id="5" name="Picture 5"/>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The suite comprises 79 documents across the nine families listed below. The counts reconcile with the document register in section 4. Every one of the 93 controls in Annex A of ISO/IEC 27001:2022 (detailed in ISO/IEC 27002:2022) is addressed by at least one document, and all 15 items of mandatory documented information required by ISO/IEC 27001:2022 are provided.</w:t>
      </w:r>
    </w:p>
    <w:tbl>
      <w:tblPr>
        <w:tblW w:type="auto" w:w="0"/>
        <w:tblLayout w:type="fixed"/>
        <w:tblLook w:firstColumn="1" w:firstRow="1" w:lastColumn="0" w:lastRow="0" w:noHBand="0" w:noVBand="1" w:val="04A0"/>
      </w:tblPr>
      <w:tblGrid>
        <w:gridCol w:w="4819"/>
        <w:gridCol w:w="4819"/>
      </w:tblGrid>
      <w:tr>
        <w:trPr>
          <w:tblHeader w:val="true"/>
        </w:trPr>
        <w:tc>
          <w:tcPr>
            <w:tcW w:type="dxa" w:w="822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Family</w:t>
            </w:r>
          </w:p>
        </w:tc>
        <w:tc>
          <w:tcPr>
            <w:tcW w:type="dxa" w:w="141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Documents</w:t>
            </w:r>
          </w:p>
        </w:tc>
      </w:tr>
      <w:tr>
        <w:trPr>
          <w:cantSplit/>
        </w:trPr>
        <w:tc>
          <w:tcPr>
            <w:tcW w:type="dxa" w:w="82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A</w:t>
            </w:r>
            <w:r>
              <w:rPr>
                <w:b w:val="0"/>
                <w:i w:val="0"/>
                <w:color w:val="1C1626"/>
                <w:sz w:val="19"/>
              </w:rPr>
              <w:t xml:space="preserve">   ISMS Framework &amp; Governance</w:t>
            </w:r>
          </w:p>
        </w:tc>
        <w:tc>
          <w:tcPr>
            <w:tcW w:type="dxa" w:w="141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10</w:t>
            </w:r>
          </w:p>
        </w:tc>
      </w:tr>
      <w:tr>
        <w:trPr>
          <w:cantSplit/>
        </w:trPr>
        <w:tc>
          <w:tcPr>
            <w:tcW w:type="dxa" w:w="82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B</w:t>
            </w:r>
            <w:r>
              <w:rPr>
                <w:b w:val="0"/>
                <w:i w:val="0"/>
                <w:color w:val="1C1626"/>
                <w:sz w:val="19"/>
              </w:rPr>
              <w:t xml:space="preserve">   Risk Management &amp; Statement of Applicability</w:t>
            </w:r>
          </w:p>
        </w:tc>
        <w:tc>
          <w:tcPr>
            <w:tcW w:type="dxa" w:w="141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3</w:t>
            </w:r>
          </w:p>
        </w:tc>
      </w:tr>
      <w:tr>
        <w:trPr>
          <w:cantSplit/>
        </w:trPr>
        <w:tc>
          <w:tcPr>
            <w:tcW w:type="dxa" w:w="82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C</w:t>
            </w:r>
            <w:r>
              <w:rPr>
                <w:b w:val="0"/>
                <w:i w:val="0"/>
                <w:color w:val="1C1626"/>
                <w:sz w:val="19"/>
              </w:rPr>
              <w:t xml:space="preserve">   Information Security Policies</w:t>
            </w:r>
          </w:p>
        </w:tc>
        <w:tc>
          <w:tcPr>
            <w:tcW w:type="dxa" w:w="141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29</w:t>
            </w:r>
          </w:p>
        </w:tc>
      </w:tr>
      <w:tr>
        <w:trPr>
          <w:cantSplit/>
        </w:trPr>
        <w:tc>
          <w:tcPr>
            <w:tcW w:type="dxa" w:w="82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D</w:t>
            </w:r>
            <w:r>
              <w:rPr>
                <w:b w:val="0"/>
                <w:i w:val="0"/>
                <w:color w:val="1C1626"/>
                <w:sz w:val="19"/>
              </w:rPr>
              <w:t xml:space="preserve">   Procedures</w:t>
            </w:r>
          </w:p>
        </w:tc>
        <w:tc>
          <w:tcPr>
            <w:tcW w:type="dxa" w:w="141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10</w:t>
            </w:r>
          </w:p>
        </w:tc>
      </w:tr>
      <w:tr>
        <w:trPr>
          <w:cantSplit/>
        </w:trPr>
        <w:tc>
          <w:tcPr>
            <w:tcW w:type="dxa" w:w="82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E</w:t>
            </w:r>
            <w:r>
              <w:rPr>
                <w:b w:val="0"/>
                <w:i w:val="0"/>
                <w:color w:val="1C1626"/>
                <w:sz w:val="19"/>
              </w:rPr>
              <w:t xml:space="preserve">   Registers &amp; Logs</w:t>
            </w:r>
          </w:p>
        </w:tc>
        <w:tc>
          <w:tcPr>
            <w:tcW w:type="dxa" w:w="141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9</w:t>
            </w:r>
          </w:p>
        </w:tc>
      </w:tr>
      <w:tr>
        <w:trPr>
          <w:cantSplit/>
        </w:trPr>
        <w:tc>
          <w:tcPr>
            <w:tcW w:type="dxa" w:w="82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F</w:t>
            </w:r>
            <w:r>
              <w:rPr>
                <w:b w:val="0"/>
                <w:i w:val="0"/>
                <w:color w:val="1C1626"/>
                <w:sz w:val="19"/>
              </w:rPr>
              <w:t xml:space="preserve">   Forms &amp; Templates</w:t>
            </w:r>
          </w:p>
        </w:tc>
        <w:tc>
          <w:tcPr>
            <w:tcW w:type="dxa" w:w="141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9</w:t>
            </w:r>
          </w:p>
        </w:tc>
      </w:tr>
      <w:tr>
        <w:trPr>
          <w:cantSplit/>
        </w:trPr>
        <w:tc>
          <w:tcPr>
            <w:tcW w:type="dxa" w:w="82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G</w:t>
            </w:r>
            <w:r>
              <w:rPr>
                <w:b w:val="0"/>
                <w:i w:val="0"/>
                <w:color w:val="1C1626"/>
                <w:sz w:val="19"/>
              </w:rPr>
              <w:t xml:space="preserve">   Business Continuity &amp; Disaster Recovery</w:t>
            </w:r>
          </w:p>
        </w:tc>
        <w:tc>
          <w:tcPr>
            <w:tcW w:type="dxa" w:w="141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5</w:t>
            </w:r>
          </w:p>
        </w:tc>
      </w:tr>
      <w:tr>
        <w:trPr>
          <w:cantSplit/>
        </w:trPr>
        <w:tc>
          <w:tcPr>
            <w:tcW w:type="dxa" w:w="82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H</w:t>
            </w:r>
            <w:r>
              <w:rPr>
                <w:b w:val="0"/>
                <w:i w:val="0"/>
                <w:color w:val="1C1626"/>
                <w:sz w:val="19"/>
              </w:rPr>
              <w:t xml:space="preserve">   Internal Audit Tooling</w:t>
            </w:r>
          </w:p>
        </w:tc>
        <w:tc>
          <w:tcPr>
            <w:tcW w:type="dxa" w:w="141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1</w:t>
            </w:r>
          </w:p>
        </w:tc>
      </w:tr>
      <w:tr>
        <w:trPr>
          <w:cantSplit/>
        </w:trPr>
        <w:tc>
          <w:tcPr>
            <w:tcW w:type="dxa" w:w="822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I</w:t>
            </w:r>
            <w:r>
              <w:rPr>
                <w:b w:val="0"/>
                <w:i w:val="0"/>
                <w:color w:val="1C1626"/>
                <w:sz w:val="19"/>
              </w:rPr>
              <w:t xml:space="preserve">   Training &amp; Awareness</w:t>
            </w:r>
          </w:p>
        </w:tc>
        <w:tc>
          <w:tcPr>
            <w:tcW w:type="dxa" w:w="141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3</w:t>
            </w:r>
          </w:p>
        </w:tc>
      </w:tr>
      <w:tr>
        <w:trPr>
          <w:cantSplit/>
        </w:trPr>
        <w:tc>
          <w:tcPr>
            <w:tcW w:type="dxa" w:w="822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9"/>
              </w:rPr>
              <w:t>Total</w:t>
            </w:r>
          </w:p>
        </w:tc>
        <w:tc>
          <w:tcPr>
            <w:tcW w:type="dxa" w:w="141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9"/>
              </w:rPr>
              <w:t>79</w:t>
            </w:r>
          </w:p>
        </w:tc>
      </w:tr>
    </w:tbl>
    <w:p>
      <w:r>
        <w:br w:type="page"/>
      </w:r>
    </w:p>
    <w:p>
      <w:pPr>
        <w:pStyle w:val="Heading1"/>
      </w:pPr>
      <w:r>
        <w:t>4  Document register</w:t>
      </w:r>
    </w:p>
    <w:p>
      <w:pPr>
        <w:spacing w:after="120" w:before="20"/>
      </w:pPr>
      <w:r>
        <w:drawing>
          <wp:inline xmlns:a="http://schemas.openxmlformats.org/drawingml/2006/main" xmlns:pic="http://schemas.openxmlformats.org/drawingml/2006/picture">
            <wp:extent cx="6120000" cy="57600"/>
            <wp:docPr id="6" name="Picture 6"/>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665979"/>
          <w:sz w:val="19"/>
        </w:rPr>
        <w:t>Documents are grouped into families. The reference prefix identifies the family (for example POL = policy, PRO = procedure, REG = register). A dash in the Annex A column means the document supports a management-system clause rather than a specific control.</w:t>
      </w:r>
    </w:p>
    <w:p>
      <w:pPr>
        <w:pStyle w:val="Heading2"/>
      </w:pPr>
      <w:r>
        <w:t>A.  ISMS Framework &amp; Governance</w:t>
      </w:r>
    </w:p>
    <w:p>
      <w:pPr>
        <w:spacing w:after="80" w:before="0"/>
      </w:pPr>
      <w:r>
        <w:rPr>
          <w:b w:val="0"/>
          <w:i w:val="0"/>
          <w:color w:val="665979"/>
          <w:sz w:val="19"/>
        </w:rPr>
        <w:t>The management-system spine (ISO 27001 Clauses 4-7, 9-10).</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ISMS-MAN-01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Management System Manual</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4,5,6,7,8,9,10</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All (overview)</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ISMS-CTX-01</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Context of the Organisation &amp; Interested Parties</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4.1, 4.2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ISMS-CTX-02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ISMS Scope Statement</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4.3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ISMS-CTX-03</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Organisation Overview</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4.1</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ISMS-GOV-01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Roles, Responsibilities &amp; Authorities</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5.1, 5.3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5.2, 5.3, 5.4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ISMS-GOV-02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Annex A Control Accountability Matrix</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5.2, 5.3</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ISMS-GOV-03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Objectives &amp; Plan</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ISMS-GOV-04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Manager — Role Description</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5.3, 7.2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ISMS-GOV-05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Competence &amp; Training Matrix</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ISMS-GOV-06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Communication Plan</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p>
      <w:pPr>
        <w:pStyle w:val="Heading2"/>
      </w:pPr>
      <w:r>
        <w:t>B.  Risk Management &amp; Statement of Applicability</w:t>
      </w:r>
    </w:p>
    <w:p>
      <w:pPr>
        <w:spacing w:after="80" w:before="0"/>
      </w:pPr>
      <w:r>
        <w:rPr>
          <w:b w:val="0"/>
          <w:i w:val="0"/>
          <w:color w:val="665979"/>
          <w:sz w:val="19"/>
        </w:rPr>
        <w:t>Risk assessment, treatment and control selection (Clause 6.1, 8.2, 8.3).</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ISMS-RSK-01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Risk Management Procedure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6.1.2, 6.1.3, 8.2, 8.3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ISMS-RSK-02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Risk Register &amp; Treatment Plan</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6.1.3, 8.2, 8.3</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All (treatment)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ISMS-SOA-01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Statement of Applicability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6.1.3 d)</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All 93 controls</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bl>
    <w:p>
      <w:pPr>
        <w:pStyle w:val="Heading2"/>
      </w:pPr>
      <w:r>
        <w:t>C.  Information Security Policies</w:t>
      </w:r>
    </w:p>
    <w:p>
      <w:pPr>
        <w:spacing w:after="80" w:before="0"/>
      </w:pPr>
      <w:r>
        <w:rPr>
          <w:b w:val="0"/>
          <w:i w:val="0"/>
          <w:color w:val="665979"/>
          <w:sz w:val="19"/>
        </w:rPr>
        <w:t>Topic-specific control policies addressing ISO 27002:2022 Annex A.</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5.2, 5.1, 6.2, 7.3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5.1, 5.4, 5.36, 6.3, 6.4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Access Control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5.15, 5.16, 5.17, 5.18, 8.2, 8.3, 8.4, 8.5</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Acceptable Use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5.10, 5.14, 8.1, 8.20, 8.23</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Asset Management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5.9, 5.10, 5.11, 7.9, 7.10, 7.14, 8.1</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Classification &amp; Handling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5.12, 5.13, 5.14, 7.10, 7.14, 8.11, 8.12</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Risk Management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5.4</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ISMS-POL-07</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Cryptography &amp; Key Management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8.24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ISMS-POL-08</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Physical &amp; Environmental Security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7.1, 7.2, 7.3, 7.4, 7.5, 7.6, 7.7, 7.8, 7.11, 7.12, 7.13</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ISMS-POL-09</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Operations Security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8.6, 8.9, 8.16, 8.18, 8.19, 8.31, 8.34, 5.37</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ISMS-POL-10</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Network Security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8.20, 8.21, 8.22, 8.23</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Secure Development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8.4, 8.25, 8.26, 8.27, 8.28, 8.29, 8.30, 8.31, 8.33</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Supplier &amp; Cloud Security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5.19, 5.20, 5.21, 5.22, 5.23, 8.30</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Incident Management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5.5, 5.6, 5.24, 5.25, 5.26, 5.27, 5.28, 6.8</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Business Continuity &amp; ICT Readiness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5.29, 5.30, 8.13, 8.14</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Backup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8.13, 8.14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Logging &amp; Monitoring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9.1</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8.15, 8.16, 8.17</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ISMS-POL-17</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Protection Against Malware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8.7</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ISMS-POL-18</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Technical Vulnerability &amp; Patch Management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8.8, 8.19</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ISMS-POL-19</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Transfer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ISMS-POL-20</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Mobile Device &amp; Remote Working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6.7, 7.9, 8.1</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Clear Desk &amp; Clear Screen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7.7</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Threat Intelligence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5.7</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Human Resource Security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7.2, 7.3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6.1, 6.2, 6.3, 6.4, 6.5, 6.6</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Privacy &amp; Protection of PII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5.34</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Data Retention &amp; Disposal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5.33, 5.34, 7.10, 7.14, 8.10</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Intellectual Property Rights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5.32, 8.19</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ISMS-POL-27</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Artificial Intelligence (AI) Acceptable Use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5.4, 8.8 (ref ISO/IEC 42001)</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ISMS-POL-28</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Compliance, Legal &amp; Independent Review Policy</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5.31, 5.35, 5.36, 8.34</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ISMS-POL-29</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in Project Management Policy</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5.8</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p>
      <w:pPr>
        <w:pStyle w:val="Heading2"/>
      </w:pPr>
      <w:r>
        <w:t>D.  Procedures</w:t>
      </w:r>
    </w:p>
    <w:p>
      <w:pPr>
        <w:spacing w:after="80" w:before="0"/>
      </w:pPr>
      <w:r>
        <w:rPr>
          <w:b w:val="0"/>
          <w:i w:val="0"/>
          <w:color w:val="665979"/>
          <w:sz w:val="19"/>
        </w:rPr>
        <w:t>Documented processes for the mandatory management-system activities.</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Document &amp; Records Control Procedure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5.37</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Internal Audit Procedure</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5.35</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Management Review Procedure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Nonconformity &amp; Corrective Action Procedure</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10.1, 10.2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Continual Improvement Procedure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10.1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Monitoring, Measurement, Analysis &amp; Evaluation Procedure</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9.1</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ISMS-PRO-07</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Change Management Procedure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6.3, 8.1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8.32</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ISMS-PRO-08</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Access Provisioning &amp; Joiner-Mover-Leaver Procedure</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5.16, 5.17, 5.18, 6.5</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ISMS-PRO-09</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Incident Response Procedure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5.24, 5.25, 5.26, 5.27, 5.28, 6.8</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ISMS-PRO-10</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Threat Intelligence Procedure</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5.7</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p>
      <w:pPr>
        <w:pStyle w:val="Heading2"/>
      </w:pPr>
      <w:r>
        <w:t>E.  Registers &amp; Logs</w:t>
      </w:r>
    </w:p>
    <w:p>
      <w:pPr>
        <w:spacing w:after="80" w:before="0"/>
      </w:pPr>
      <w:r>
        <w:rPr>
          <w:b w:val="0"/>
          <w:i w:val="0"/>
          <w:color w:val="665979"/>
          <w:sz w:val="19"/>
        </w:rPr>
        <w:t>Live records that evidence operation of the ISMS.</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Legal, Regulatory &amp; Contractual Requirements Register</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4.2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5.31, 5.34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Asset Register</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8.1</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5.9, 5.10, 5.11</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Data Asset Register / Records of Processing Activities</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5.9, 5.34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Software &amp; Licence Register</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5.9, 5.32, 8.19</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Third-Party Supplier Register</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5.19, 5.21, 5.22</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Access Review Log</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5.18, 8.2</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ISMS-REG-07</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Incident &amp; Corrective Action Log</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10.2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5.25, 5.27, 6.8</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ISMS-REG-08</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Change Log</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8.32</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ISMS-REG-09</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Document Master Register &amp; Tracker</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5.37</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bl>
    <w:p>
      <w:pPr>
        <w:pStyle w:val="Heading2"/>
      </w:pPr>
      <w:r>
        <w:t>F.  Forms &amp; Templates</w:t>
      </w:r>
    </w:p>
    <w:p>
      <w:pPr>
        <w:spacing w:after="80" w:before="0"/>
      </w:pPr>
      <w:r>
        <w:rPr>
          <w:b w:val="0"/>
          <w:i w:val="0"/>
          <w:color w:val="665979"/>
          <w:sz w:val="19"/>
        </w:rPr>
        <w:t>Reusable record templates.</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Corrective Action Request (CAR)</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10.2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Internal Audit Report</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Internal Audit Plan &amp; Schedule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Management Review Minutes</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9.3</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i w:val="0"/>
                <w:color w:val="44089B"/>
                <w:sz w:val="17"/>
              </w:rPr>
              <w:t>Yes</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Risk Assessment Worksheet</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6.1.2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ISMS-FRM-06</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Access Request Form</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5.16, 5.18</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ISMS-FRM-07</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Change Request Form</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8.32</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ISMS-FRM-08</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Information Security Incident Report Form</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6.8, 5.25</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ISMS-FRM-09</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Supplier Security Assessment Questionnaire</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5.19, 5.20</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p>
      <w:pPr>
        <w:pStyle w:val="Heading2"/>
      </w:pPr>
      <w:r>
        <w:t>G.  Business Continuity &amp; Disaster Recovery</w:t>
      </w:r>
    </w:p>
    <w:p>
      <w:pPr>
        <w:spacing w:after="80" w:before="0"/>
      </w:pPr>
      <w:r>
        <w:rPr>
          <w:b w:val="0"/>
          <w:i w:val="0"/>
          <w:color w:val="665979"/>
          <w:sz w:val="19"/>
        </w:rPr>
        <w:t>Resilience and ICT readiness (controls 5.29, 5.30, 8.13, 8.14).</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ISMS-BCP-01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Business Impact Analysis</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5.29, 5.30</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ISMS-BCP-02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Business Continuity Plan</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5.29, 5.30, 8.13, 8.14</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ISMS-BCP-03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Disaster Recovery Plan</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5.30, 8.13, 8.14</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ISMS-BCP-04</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Business Continuity &amp; DR Test Plan and Report</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5.29, 5.30</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ISMS-BCP-05</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Post-Incident Review Form</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10.2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5.27</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p>
      <w:pPr>
        <w:pStyle w:val="Heading2"/>
      </w:pPr>
      <w:r>
        <w:t>H.  Internal Audit Tooling</w:t>
      </w:r>
    </w:p>
    <w:p>
      <w:pPr>
        <w:spacing w:after="80" w:before="0"/>
      </w:pPr>
      <w:r>
        <w:rPr>
          <w:b w:val="0"/>
          <w:i w:val="0"/>
          <w:color w:val="665979"/>
          <w:sz w:val="19"/>
        </w:rPr>
        <w:t>Audit checklists and evidence (Clause 9.2).</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ISMS-AUD-01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Internal Audit Checklist (Clauses 4-10 &amp; Annex A)</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Excel</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9.2</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All</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p>
      <w:pPr>
        <w:pStyle w:val="Heading2"/>
      </w:pPr>
      <w:r>
        <w:t>I.  Training &amp; Awareness</w:t>
      </w:r>
    </w:p>
    <w:p>
      <w:pPr>
        <w:spacing w:after="80" w:before="0"/>
      </w:pPr>
      <w:r>
        <w:rPr>
          <w:b w:val="0"/>
          <w:i w:val="0"/>
          <w:color w:val="665979"/>
          <w:sz w:val="19"/>
        </w:rPr>
        <w:t>Competence and awareness materials (Clause 7.2, 7.3).</w:t>
      </w:r>
    </w:p>
    <w:tbl>
      <w:tblPr>
        <w:tblW w:type="auto" w:w="0"/>
        <w:tblLayout w:type="fixed"/>
        <w:tblLook w:firstColumn="1" w:firstRow="1" w:lastColumn="0" w:lastRow="0" w:noHBand="0" w:noVBand="1" w:val="04A0"/>
      </w:tblPr>
      <w:tblGrid>
        <w:gridCol w:w="1606"/>
        <w:gridCol w:w="1606"/>
        <w:gridCol w:w="1606"/>
        <w:gridCol w:w="1606"/>
        <w:gridCol w:w="1606"/>
        <w:gridCol w:w="1606"/>
      </w:tblGrid>
      <w:tr>
        <w:trPr>
          <w:tblHeader w:val="true"/>
        </w:trPr>
        <w:tc>
          <w:tcPr>
            <w:tcW w:type="dxa" w:w="113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Ref</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Document</w:t>
            </w:r>
          </w:p>
        </w:tc>
        <w:tc>
          <w:tcPr>
            <w:tcW w:type="dxa" w:w="90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Format</w:t>
            </w:r>
          </w:p>
        </w:tc>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27001 clause</w:t>
            </w:r>
          </w:p>
        </w:tc>
        <w:tc>
          <w:tcPr>
            <w:tcW w:type="dxa" w:w="2835"/>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Annex A controls</w:t>
            </w:r>
          </w:p>
        </w:tc>
        <w:tc>
          <w:tcPr>
            <w:tcW w:type="dxa" w:w="680"/>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7"/>
              </w:rPr>
              <w:t>Mand.</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ISMS-TRN-01</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ISMS Governance Framework — Awareness Briefing</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PowerPoint</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ISMS-TRN-02</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Introduction to Information Security — Staff Training</w:t>
            </w:r>
          </w:p>
        </w:tc>
        <w:tc>
          <w:tcPr>
            <w:tcW w:type="dxa" w:w="90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PowerPoint</w:t>
            </w:r>
          </w:p>
        </w:tc>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7.3</w:t>
            </w:r>
          </w:p>
        </w:tc>
        <w:tc>
          <w:tcPr>
            <w:tcW w:type="dxa" w:w="2835"/>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w:t>
            </w:r>
          </w:p>
        </w:tc>
        <w:tc>
          <w:tcPr>
            <w:tcW w:type="dxa" w:w="680"/>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r>
        <w:trPr>
          <w:cantSplit/>
        </w:trPr>
        <w:tc>
          <w:tcPr>
            <w:tcW w:type="dxa" w:w="113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7"/>
              </w:rPr>
              <w:t>ISMS-TRN-03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Training &amp; Awareness Plan</w:t>
            </w:r>
          </w:p>
        </w:tc>
        <w:tc>
          <w:tcPr>
            <w:tcW w:type="dxa" w:w="90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Word</w:t>
            </w:r>
          </w:p>
        </w:tc>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7.2, 7.3</w:t>
            </w:r>
          </w:p>
        </w:tc>
        <w:tc>
          <w:tcPr>
            <w:tcW w:type="dxa" w:w="2835"/>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7"/>
              </w:rPr>
              <w:t>6.3</w:t>
            </w:r>
          </w:p>
        </w:tc>
        <w:tc>
          <w:tcPr>
            <w:tcW w:type="dxa" w:w="680"/>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665979"/>
                <w:sz w:val="17"/>
              </w:rPr>
              <w:t>—</w:t>
            </w:r>
          </w:p>
        </w:tc>
      </w:tr>
    </w:tbl>
    <w:tbl>
      <w:tblPr>
        <w:tblW w:type="auto" w:w="0"/>
        <w:tblLayout w:type="fixed"/>
        <w:tblLook w:firstColumn="1" w:firstRow="1" w:lastColumn="0" w:lastRow="0" w:noHBand="0" w:noVBand="1" w:val="04A0"/>
      </w:tblPr>
      <w:tblGrid>
        <w:gridCol w:w="9638"/>
      </w:tblGrid>
      <w:tr>
        <w:tc>
          <w:tcPr>
            <w:tcW w:type="dxa" w:w="9638"/>
            <w:shd w:val="clear" w:color="auto" w:fill="F1E9FB"/>
            <w:tcBorders>
              <w:left w:val="single" w:sz="4" w:space="0" w:color="B843F3"/>
              <w:top w:val="single" w:sz="4" w:space="0" w:color="E5DAF1"/>
              <w:bottom w:val="single" w:sz="4" w:space="0" w:color="E5DAF1"/>
              <w:right w:val="single" w:sz="4" w:space="0" w:color="E5DAF1"/>
            </w:tcBorders>
            <w:tcMar>
              <w:top w:w="90" w:type="dxa"/>
              <w:bottom w:w="90" w:type="dxa"/>
              <w:start w:w="150" w:type="dxa"/>
              <w:end w:w="150" w:type="dxa"/>
            </w:tcMar>
          </w:tcPr>
          <w:p>
            <w:r/>
            <w:r>
              <w:rPr>
                <w:b/>
                <w:color w:val="44089B"/>
                <w:sz w:val="20"/>
              </w:rPr>
              <w:t>Document register</w:t>
            </w:r>
          </w:p>
          <w:p>
            <w:pPr>
              <w:spacing w:after="40"/>
            </w:pPr>
            <w:r>
              <w:rPr>
                <w:color w:val="1C1626"/>
                <w:sz w:val="19"/>
              </w:rPr>
              <w:t>The live status, owner and review dates of every document are maintained in the Document Master Register (ISMS-REG-09). All references in this suite use the ISMS-XXX-NN scheme and resolve to a document in this register.</w:t>
            </w:r>
          </w:p>
        </w:tc>
      </w:tr>
    </w:tbl>
    <w:p>
      <w:r>
        <w:br w:type="page"/>
      </w:r>
    </w:p>
    <w:p>
      <w:pPr>
        <w:pStyle w:val="Heading1"/>
      </w:pPr>
      <w:r>
        <w:t>5  Mandatory documented information</w:t>
      </w:r>
    </w:p>
    <w:p>
      <w:pPr>
        <w:spacing w:after="120" w:before="20"/>
      </w:pPr>
      <w:r>
        <w:drawing>
          <wp:inline xmlns:a="http://schemas.openxmlformats.org/drawingml/2006/main" xmlns:pic="http://schemas.openxmlformats.org/drawingml/2006/picture">
            <wp:extent cx="6120000" cy="57600"/>
            <wp:docPr id="7" name="Picture 7"/>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ISO/IEC 27001:2022 requires the following documented information. Each item is provided by the suite document shown.</w:t>
      </w:r>
    </w:p>
    <w:tbl>
      <w:tblPr>
        <w:tblW w:type="auto" w:w="0"/>
        <w:tblLayout w:type="fixed"/>
        <w:tblLook w:firstColumn="1" w:firstRow="1" w:lastColumn="0" w:lastRow="0" w:noHBand="0" w:noVBand="1" w:val="04A0"/>
      </w:tblPr>
      <w:tblGrid>
        <w:gridCol w:w="3213"/>
        <w:gridCol w:w="3213"/>
        <w:gridCol w:w="3213"/>
      </w:tblGrid>
      <w:tr>
        <w:trPr>
          <w:tblHeader w:val="true"/>
        </w:trPr>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Clause</w:t>
            </w:r>
          </w:p>
        </w:tc>
        <w:tc>
          <w:tcPr>
            <w:tcW w:type="dxa" w:w="4422"/>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Required documented information</w:t>
            </w:r>
          </w:p>
        </w:tc>
        <w:tc>
          <w:tcPr>
            <w:tcW w:type="dxa" w:w="3969"/>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8"/>
              </w:rPr>
              <w:t>Provided by</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4.3</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Scope of the ISMS</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ISMS-CTX-02 (and ISMS-MAN-01 §4.3)</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5.2</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Information security policy</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ISMS-POL-01</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6.1.2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Information security risk assessment process</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ISMS-RSK-01</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6.1.3</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Information security risk treatment process</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ISMS-RSK-01</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6.1.3 d)</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Statement of Applicability</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ISMS-SOA-01</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6.2</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Information security objectives</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ISMS-GOV-03</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7.2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Evidence of competence</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ISMS-GOV-05 (Competence &amp; Training Matrix)</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7.5.1 b)</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Documented information determined necessary</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Entire suite (see ISMS-REG-09)</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8.1</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Operational planning &amp; control</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ISMS-MAN-01 §8; relevant procedures</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8.2</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Results of risk assessments</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ISMS-RSK-02</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8.3</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Results of risk treatment</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ISMS-RSK-02 / ISMS-SOA-01</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9.1</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Evidence of monitoring &amp; measurement</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ISMS-PRO-06; ISMS-GOV-03</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9.2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Internal audit programme &amp; results</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ISMS-PRO-02; ISMS-FRM-02/03; ISMS-AUD-01</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9.3</w:t>
            </w:r>
          </w:p>
        </w:tc>
        <w:tc>
          <w:tcPr>
            <w:tcW w:type="dxa" w:w="4422"/>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Evidence of management review results</w:t>
            </w:r>
          </w:p>
        </w:tc>
        <w:tc>
          <w:tcPr>
            <w:tcW w:type="dxa" w:w="396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ISMS-PRO-03; ISMS-FRM-04</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i w:val="0"/>
                <w:color w:val="44089B"/>
                <w:sz w:val="18"/>
              </w:rPr>
              <w:t>10.2</w:t>
            </w:r>
          </w:p>
        </w:tc>
        <w:tc>
          <w:tcPr>
            <w:tcW w:type="dxa" w:w="4422"/>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Nonconformities &amp; corrective actions</w:t>
            </w:r>
          </w:p>
        </w:tc>
        <w:tc>
          <w:tcPr>
            <w:tcW w:type="dxa" w:w="396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8"/>
              </w:rPr>
              <w:t>ISMS-PRO-04; ISMS-FRM-01; ISMS-REG-07</w:t>
            </w:r>
          </w:p>
        </w:tc>
      </w:tr>
    </w:tbl>
    <w:p>
      <w:pPr>
        <w:pStyle w:val="Heading1"/>
      </w:pPr>
      <w:r>
        <w:t>6  Conventions used across the suite</w:t>
      </w:r>
    </w:p>
    <w:p>
      <w:pPr>
        <w:spacing w:after="120" w:before="20"/>
      </w:pPr>
      <w:r>
        <w:drawing>
          <wp:inline xmlns:a="http://schemas.openxmlformats.org/drawingml/2006/main" xmlns:pic="http://schemas.openxmlformats.org/drawingml/2006/picture">
            <wp:extent cx="6120000" cy="57600"/>
            <wp:docPr id="8" name="Picture 8"/>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pStyle w:val="Heading2"/>
      </w:pPr>
      <w:r>
        <w:t>6.1  Document referencing</w:t>
      </w:r>
    </w:p>
    <w:p>
      <w:pPr>
        <w:spacing w:after="120" w:before="0"/>
      </w:pPr>
      <w:r>
        <w:rPr>
          <w:b w:val="0"/>
          <w:i w:val="0"/>
          <w:color w:val="1C1626"/>
          <w:sz w:val="21"/>
        </w:rPr>
        <w:t>Every document carries a unique reference of the form ISMS-XXX-NN, where XXX is the family code and NN is a sequence number. The reference appears on the cover and in the footer of every document.</w:t>
      </w:r>
    </w:p>
    <w:p>
      <w:pPr>
        <w:pStyle w:val="Heading2"/>
      </w:pPr>
      <w:r>
        <w:t>6.2  Placeholders</w:t>
      </w:r>
    </w:p>
    <w:p>
      <w:pPr>
        <w:spacing w:after="120" w:before="0"/>
      </w:pPr>
      <w:r>
        <w:rPr>
          <w:b w:val="0"/>
          <w:i w:val="0"/>
          <w:color w:val="1C1626"/>
          <w:sz w:val="21"/>
        </w:rPr>
        <w:t>Content to be completed by the purchasing organisation is shown in square brackets, for example [Organisation Name], [DATE] or [Document Owner]. In spreadsheets, cells that require input are shaded pale yellow.</w:t>
      </w:r>
    </w:p>
    <w:p>
      <w:pPr>
        <w:pStyle w:val="Heading2"/>
      </w:pPr>
      <w:r>
        <w:t>6.3  Version control and classification</w:t>
      </w:r>
    </w:p>
    <w:p>
      <w:pPr>
        <w:spacing w:after="120" w:before="0"/>
      </w:pPr>
      <w:r>
        <w:rPr>
          <w:b w:val="0"/>
          <w:i w:val="0"/>
          <w:color w:val="1C1626"/>
          <w:sz w:val="21"/>
        </w:rPr>
        <w:t>Documents use two-part version numbering (x.y): the first part increments on a formal re-issue, the second on minor revision. Each document carries a classification label (default Confidential) on its cover, header and footer.</w:t>
      </w:r>
    </w:p>
    <w:p>
      <w:pPr>
        <w:pStyle w:val="Heading2"/>
      </w:pPr>
      <w:r>
        <w:t>6.4  Branding</w:t>
      </w:r>
    </w:p>
    <w:p>
      <w:pPr>
        <w:spacing w:after="120" w:before="0"/>
      </w:pPr>
      <w:r>
        <w:rPr>
          <w:b w:val="0"/>
          <w:i w:val="0"/>
          <w:color w:val="1C1626"/>
          <w:sz w:val="21"/>
        </w:rPr>
        <w:t>The purchasing organisation applies its own branding by inserting its logo in the placeholder on each cover. 27001 Systems branding is limited to the colour scheme, cover styling and footer, so the end product reads as the customer's own management system.</w:t>
      </w:r>
    </w:p>
    <w:p>
      <w:pPr>
        <w:pStyle w:val="Heading1"/>
      </w:pPr>
      <w:r>
        <w:t>7  Putting the suite into use</w:t>
      </w:r>
    </w:p>
    <w:p>
      <w:pPr>
        <w:spacing w:after="120" w:before="20"/>
      </w:pPr>
      <w:r>
        <w:drawing>
          <wp:inline xmlns:a="http://schemas.openxmlformats.org/drawingml/2006/main" xmlns:pic="http://schemas.openxmlformats.org/drawingml/2006/picture">
            <wp:extent cx="6120000" cy="57600"/>
            <wp:docPr id="9" name="Picture 9"/>
            <wp:cNvGraphicFramePr>
              <a:graphicFrameLocks noChangeAspect="1"/>
            </wp:cNvGraphicFramePr>
            <a:graphic>
              <a:graphicData uri="http://schemas.openxmlformats.org/drawingml/2006/picture">
                <pic:pic>
                  <pic:nvPicPr>
                    <pic:cNvPr id="0" name="grad_rule.png"/>
                    <pic:cNvPicPr/>
                  </pic:nvPicPr>
                  <pic:blipFill>
                    <a:blip r:embed="rId13"/>
                    <a:stretch>
                      <a:fillRect/>
                    </a:stretch>
                  </pic:blipFill>
                  <pic:spPr>
                    <a:xfrm>
                      <a:off x="0" y="0"/>
                      <a:ext cx="6120000" cy="57600"/>
                    </a:xfrm>
                    <a:prstGeom prst="rect"/>
                  </pic:spPr>
                </pic:pic>
              </a:graphicData>
            </a:graphic>
          </wp:inline>
        </w:drawing>
      </w:r>
    </w:p>
    <w:p>
      <w:pPr>
        <w:spacing w:after="120" w:before="0"/>
      </w:pPr>
      <w:r>
        <w:rPr>
          <w:b w:val="0"/>
          <w:i w:val="0"/>
          <w:color w:val="1C1626"/>
          <w:sz w:val="21"/>
        </w:rPr>
        <w:t>The suite is delivered complete — every document in the register above is included. To adopt it, the purchasing organisation:</w:t>
      </w:r>
    </w:p>
    <w:p>
      <w:pPr>
        <w:pStyle w:val="ListNumber"/>
        <w:spacing w:after="60"/>
      </w:pPr>
      <w:r>
        <w:rPr>
          <w:sz w:val="21"/>
        </w:rPr>
        <w:t>Inserts its own branding (logo and name) and completes the [bracketed placeholders] throughout.</w:t>
      </w:r>
    </w:p>
    <w:p>
      <w:pPr>
        <w:pStyle w:val="ListNumber"/>
        <w:spacing w:after="60"/>
      </w:pPr>
      <w:r>
        <w:rPr>
          <w:sz w:val="21"/>
        </w:rPr>
        <w:t>Defines the ISMS scope (ISMS-CTX-02) and context, including the climate-change determination (ISMS-CTX-01).</w:t>
      </w:r>
    </w:p>
    <w:p>
      <w:pPr>
        <w:pStyle w:val="ListNumber"/>
        <w:spacing w:after="60"/>
      </w:pPr>
      <w:r>
        <w:rPr>
          <w:sz w:val="21"/>
        </w:rPr>
        <w:t>Carries out its information security risk assessment (ISMS-RSK-01) and completes the Statement of Applicability (ISMS-SOA-01) and the Risk Register (ISMS-RSK-02).</w:t>
      </w:r>
    </w:p>
    <w:p>
      <w:pPr>
        <w:pStyle w:val="ListNumber"/>
        <w:spacing w:after="60"/>
      </w:pPr>
      <w:r>
        <w:rPr>
          <w:sz w:val="21"/>
        </w:rPr>
        <w:t>Adopts and communicates the policies, operates the procedures, and maintains the registers and logs.</w:t>
      </w:r>
    </w:p>
    <w:p>
      <w:pPr>
        <w:pStyle w:val="ListNumber"/>
        <w:spacing w:after="60"/>
      </w:pPr>
      <w:r>
        <w:rPr>
          <w:sz w:val="21"/>
        </w:rPr>
        <w:t>Runs internal audits (ISMS-PRO-02) and management reviews (ISMS-PRO-03), and continually improves the system.</w:t>
      </w:r>
    </w:p>
    <w:p>
      <w:pPr>
        <w:spacing w:after="120" w:before="0"/>
      </w:pPr>
      <w:r>
        <w:rPr>
          <w:b w:val="0"/>
          <w:i w:val="0"/>
          <w:color w:val="1C1626"/>
          <w:sz w:val="21"/>
        </w:rPr>
        <w:t>The status of every document is tracked in the Document Master Register (ISMS-REG-09).</w:t>
      </w:r>
    </w:p>
    <w:p>
      <w:pPr>
        <w:pStyle w:val="Heading2"/>
      </w:pPr>
      <w:r>
        <w:t>Version history</w:t>
      </w:r>
    </w:p>
    <w:p>
      <w:pPr>
        <w:spacing w:after="120" w:before="0"/>
      </w:pPr>
      <w:r>
        <w:rPr>
          <w:b w:val="0"/>
          <w:i w:val="0"/>
          <w:color w:val="665979"/>
          <w:sz w:val="19"/>
        </w:rPr>
        <w:t>Record each revision of this document. The purchasing organisation maintains version control after adoption.</w:t>
      </w:r>
    </w:p>
    <w:tbl>
      <w:tblPr>
        <w:tblW w:type="auto" w:w="0"/>
        <w:tblLayout w:type="fixed"/>
        <w:tblLook w:firstColumn="1" w:firstRow="1" w:lastColumn="0" w:lastRow="0" w:noHBand="0" w:noVBand="1" w:val="04A0"/>
      </w:tblPr>
      <w:tblGrid>
        <w:gridCol w:w="2409"/>
        <w:gridCol w:w="2409"/>
        <w:gridCol w:w="2409"/>
        <w:gridCol w:w="2409"/>
      </w:tblGrid>
      <w:tr>
        <w:trPr>
          <w:tblHeader w:val="true"/>
        </w:trPr>
        <w:tc>
          <w:tcPr>
            <w:tcW w:type="dxa" w:w="124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Version</w:t>
            </w:r>
          </w:p>
        </w:tc>
        <w:tc>
          <w:tcPr>
            <w:tcW w:type="dxa" w:w="1587"/>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Date</w:t>
            </w:r>
          </w:p>
        </w:tc>
        <w:tc>
          <w:tcPr>
            <w:tcW w:type="dxa" w:w="1984"/>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Author</w:t>
            </w:r>
          </w:p>
        </w:tc>
        <w:tc>
          <w:tcPr>
            <w:tcW w:type="dxa" w:w="4819"/>
            <w:shd w:val="clear" w:color="auto" w:fill="44089B"/>
            <w:tcBorders>
              <w:top w:val="single" w:sz="4" w:space="0" w:color="44089B"/>
              <w:bottom w:val="single" w:sz="4" w:space="0" w:color="44089B"/>
              <w:left w:val="single" w:sz="4" w:space="0" w:color="44089B"/>
              <w:right w:val="single" w:sz="4" w:space="0" w:color="44089B"/>
            </w:tcBorders>
            <w:tcMar>
              <w:top w:w="40" w:type="dxa"/>
              <w:bottom w:w="40" w:type="dxa"/>
              <w:start w:w="110" w:type="dxa"/>
              <w:end w:w="110" w:type="dxa"/>
            </w:tcMar>
            <w:vAlign w:val="center"/>
          </w:tcPr>
          <w:p>
            <w:pPr>
              <w:spacing w:after="0"/>
            </w:pPr>
            <w:r>
              <w:rPr>
                <w:b/>
                <w:color w:val="FFFFFF"/>
                <w:sz w:val="19"/>
              </w:rPr>
              <w:t>Summary of change</w:t>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t>[0.1]</w:t>
            </w:r>
          </w:p>
        </w:tc>
        <w:tc>
          <w:tcPr>
            <w:tcW w:type="dxa" w:w="158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[DD/MM/YYYY]</w:t>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[Author]</w:t>
            </w:r>
          </w:p>
        </w:tc>
        <w:tc>
          <w:tcPr>
            <w:tcW w:type="dxa" w:w="481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t>Initial issue / adoption of 27001 Systems template</w:t>
            </w:r>
          </w:p>
        </w:tc>
      </w:tr>
      <w:tr>
        <w:trPr>
          <w:cantSplit/>
        </w:trPr>
        <w:tc>
          <w:tcPr>
            <w:tcW w:type="dxa" w:w="124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r>
          </w:p>
        </w:tc>
        <w:tc>
          <w:tcPr>
            <w:tcW w:type="dxa" w:w="1587"/>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4819"/>
            <w:shd w:val="clear" w:color="auto" w:fill="FBF8FD"/>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r>
        <w:trPr>
          <w:cantSplit/>
        </w:trPr>
        <w:tc>
          <w:tcPr>
            <w:tcW w:type="dxa" w:w="124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jc w:val="left"/>
            </w:pPr>
            <w:r>
              <w:rPr>
                <w:b w:val="0"/>
                <w:i w:val="0"/>
                <w:color w:val="1C1626"/>
                <w:sz w:val="19"/>
              </w:rPr>
            </w:r>
          </w:p>
        </w:tc>
        <w:tc>
          <w:tcPr>
            <w:tcW w:type="dxa" w:w="1587"/>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1984"/>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c>
          <w:tcPr>
            <w:tcW w:type="dxa" w:w="4819"/>
            <w:shd w:val="clear" w:color="auto" w:fill="FFFFFF"/>
            <w:tcBorders>
              <w:top w:val="single" w:sz="4" w:space="0" w:color="E5DAF1"/>
              <w:bottom w:val="single" w:sz="4" w:space="0" w:color="E5DAF1"/>
              <w:left w:val="single" w:sz="4" w:space="0" w:color="E5DAF1"/>
              <w:right w:val="single" w:sz="4" w:space="0" w:color="E5DAF1"/>
            </w:tcBorders>
            <w:tcMar>
              <w:top w:w="40" w:type="dxa"/>
              <w:bottom w:w="40" w:type="dxa"/>
              <w:start w:w="110" w:type="dxa"/>
              <w:end w:w="110" w:type="dxa"/>
            </w:tcMar>
            <w:vAlign w:val="top"/>
          </w:tcPr>
          <w:p>
            <w:pPr>
              <w:spacing w:after="0"/>
            </w:pPr>
            <w:r>
              <w:rPr>
                <w:b w:val="0"/>
                <w:i w:val="0"/>
                <w:color w:val="1C1626"/>
                <w:sz w:val="19"/>
              </w:rPr>
            </w:r>
          </w:p>
        </w:tc>
      </w:tr>
    </w:tbl>
    <w:sectPr w:rsidR="00FC693F" w:rsidRPr="0006063C" w:rsidSect="00034616">
      <w:headerReference w:type="default" r:id="rId9"/>
      <w:footerReference w:type="default" r:id="rId10"/>
      <w:footerReference w:type="first" r:id="rId11"/>
      <w:pgSz w:w="11906" w:h="16838"/>
      <w:pgMar w:top="1020" w:right="1134" w:bottom="1020" w:left="1134" w:header="624"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Bdr>
        <w:top w:val="single" w:sz="14" w:space="6" w:color="B843F3"/>
      </w:pBdr>
      <w:tabs>
        <w:tab w:pos="4819" w:val="center"/>
        <w:tab w:pos="9638" w:val="right"/>
      </w:tabs>
    </w:pPr>
    <w:r/>
    <w:r>
      <w:rPr>
        <w:b/>
        <w:color w:val="44089B"/>
        <w:sz w:val="16"/>
      </w:rPr>
      <w:t>© 27001 Systems</w:t>
    </w:r>
    <w:r>
      <w:rPr>
        <w:color w:val="665979"/>
        <w:sz w:val="16"/>
      </w:rPr>
      <w:tab/>
      <w:t>ISMS-ARC-01  •  v[0.1]  •  Commercial in Confidence</w:t>
    </w:r>
    <w:r>
      <w:rPr>
        <w:sz w:val="16"/>
      </w:rPr>
      <w:tab/>
    </w:r>
    <w:r>
      <w:rPr>
        <w:color w:val="665979"/>
        <w:sz w:val="16"/>
      </w:rPr>
      <w:t xml:space="preserve">Page </w:t>
    </w:r>
    <w:r>
      <w:rPr>
        <w:b w:val="0"/>
        <w:color w:val="665979"/>
        <w:sz w:val="16"/>
      </w:rPr>
      <w:fldChar w:fldCharType="begin"/>
      <w:instrText xml:space="preserve">PAGE</w:instrText>
      <w:fldChar w:fldCharType="separate"/>
      <w:t>1</w:t>
      <w:fldChar w:fldCharType="end"/>
    </w:r>
    <w:r>
      <w:rPr>
        <w:color w:val="665979"/>
        <w:sz w:val="16"/>
      </w:rPr>
      <w:t xml:space="preserve"> of </w:t>
    </w:r>
    <w:r>
      <w:rPr>
        <w:b w:val="0"/>
        <w:color w:val="665979"/>
        <w:sz w:val="16"/>
      </w:rPr>
      <w:fldChar w:fldCharType="begin"/>
      <w:instrText xml:space="preserve">NUMPAGES</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before="0"/>
      <w:rPr>
        <w:sz w:val="4"/>
      </w:rPr>
    </w:pPr>
    <w:r/>
  </w:p>
  <w:p>
    <w:pPr>
      <w:spacing w:after="0" w:before="0"/>
      <w:jc w:val="center"/>
    </w:pPr>
    <w:r>
      <w:drawing>
        <wp:inline xmlns:a="http://schemas.openxmlformats.org/drawingml/2006/main" xmlns:pic="http://schemas.openxmlformats.org/drawingml/2006/picture">
          <wp:extent cx="6120000" cy="740323"/>
          <wp:docPr id="1" name="Picture 1"/>
          <wp:cNvGraphicFramePr>
            <a:graphicFrameLocks noChangeAspect="1"/>
          </wp:cNvGraphicFramePr>
          <a:graphic>
            <a:graphicData uri="http://schemas.openxmlformats.org/drawingml/2006/picture">
              <pic:pic>
                <pic:nvPicPr>
                  <pic:cNvPr id="0" name="band_gradient.png"/>
                  <pic:cNvPicPr/>
                </pic:nvPicPr>
                <pic:blipFill>
                  <a:blip r:embed="rId1"/>
                  <a:stretch>
                    <a:fillRect/>
                  </a:stretch>
                </pic:blipFill>
                <pic:spPr>
                  <a:xfrm>
                    <a:off x="0" y="0"/>
                    <a:ext cx="6120000" cy="740323"/>
                  </a:xfrm>
                  <a:prstGeom prst="rect"/>
                </pic:spPr>
              </pic:pic>
            </a:graphicData>
          </a:graphic>
        </wp:inline>
      </w:drawing>
    </w:r>
  </w:p>
  <w:p>
    <w:pPr>
      <w:spacing w:before="0" w:after="0"/>
      <w:rPr>
        <w:sz w:val="2"/>
      </w:rP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tabs>
        <w:tab w:pos="9638" w:val="right"/>
      </w:tabs>
      <w:pBdr>
        <w:bottom w:val="single" w:sz="6" w:space="4" w:color="E5DAF1"/>
      </w:pBdr>
    </w:pPr>
    <w:r/>
    <w:r>
      <w:rPr>
        <w:color w:val="665979"/>
        <w:sz w:val="17"/>
      </w:rPr>
      <w:t>[Organisation Name]</w:t>
    </w:r>
    <w:r>
      <w:rPr>
        <w:color w:val="665979"/>
        <w:sz w:val="17"/>
      </w:rPr>
      <w:tab/>
      <w:t>Commercial in Confidence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s="Aptos"/>
      <w:color w:val="1C1626"/>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Aptos" w:hAnsi="Aptos"/>
      <w:b/>
      <w:bCs/>
      <w:color w:val="44089B"/>
      <w:sz w:val="34"/>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Aptos" w:hAnsi="Aptos"/>
      <w:b/>
      <w:bCs/>
      <w:color w:val="44089B"/>
      <w:sz w:val="26"/>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Aptos" w:hAnsi="Aptos"/>
      <w:b/>
      <w:bCs/>
      <w:color w:val="44089B"/>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44089B"/>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2.png"/><Relationship Id="rId13"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ISMS Template Suite — Architecture &amp; Document Register</dc:title>
  <dc:subject/>
  <dc:creator>27001 Systems</dc:creator>
  <cp:keywords>ISO 27001:2022; ISMS; Information Security; 27001 Systems</cp:keywords>
  <dc:description>Information Security Management System template provided by 27001 Systems (27001systems.com).</dc:description>
  <cp:lastModifiedBy>27001 Systems</cp:lastModifiedBy>
  <cp:revision>1</cp:revision>
  <dcterms:created xsi:type="dcterms:W3CDTF">2013-12-23T23:15:00Z</dcterms:created>
  <dcterms:modified xsi:type="dcterms:W3CDTF">2013-12-23T23:15:00Z</dcterms:modified>
  <cp:category>ISO/IEC 27001:2022 ISMS Template</cp:category>
</cp:coreProperties>
</file>